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A933" w14:textId="77777777" w:rsidR="008E7D7E" w:rsidRDefault="008E7D7E" w:rsidP="008E7D7E">
      <w:pPr>
        <w:spacing w:after="0" w:line="259" w:lineRule="auto"/>
        <w:ind w:left="285" w:right="431"/>
        <w:jc w:val="left"/>
        <w:rPr>
          <w:b/>
          <w:i/>
        </w:rPr>
      </w:pPr>
      <w:r w:rsidRPr="003E7BAF">
        <w:rPr>
          <w:b/>
          <w:i/>
        </w:rPr>
        <w:t>SEMPOZYUM</w:t>
      </w:r>
      <w:r>
        <w:rPr>
          <w:b/>
          <w:i/>
        </w:rPr>
        <w:t xml:space="preserve"> YAZIM KILAVUZU</w:t>
      </w:r>
    </w:p>
    <w:p w14:paraId="7867D02E" w14:textId="77777777" w:rsidR="008E7D7E" w:rsidRDefault="008E7D7E" w:rsidP="008E7D7E">
      <w:pPr>
        <w:spacing w:after="0" w:line="259" w:lineRule="auto"/>
        <w:ind w:left="285" w:right="431"/>
        <w:jc w:val="left"/>
        <w:rPr>
          <w:b/>
          <w:i/>
        </w:rPr>
      </w:pPr>
    </w:p>
    <w:p w14:paraId="41AA7FEE" w14:textId="77777777" w:rsidR="008E7D7E" w:rsidRDefault="008E7D7E" w:rsidP="008E7D7E">
      <w:pPr>
        <w:spacing w:after="0" w:line="259" w:lineRule="auto"/>
        <w:ind w:left="285" w:right="431"/>
        <w:rPr>
          <w:b/>
          <w:i/>
        </w:rPr>
      </w:pPr>
      <w:r>
        <w:rPr>
          <w:b/>
          <w:i/>
        </w:rPr>
        <w:t>ÖZET</w:t>
      </w:r>
    </w:p>
    <w:p w14:paraId="44FA93D2" w14:textId="77777777" w:rsidR="008E7D7E" w:rsidRPr="002118ED" w:rsidRDefault="008E7D7E" w:rsidP="008E7D7E">
      <w:pPr>
        <w:spacing w:after="0" w:line="259" w:lineRule="auto"/>
        <w:ind w:left="285" w:right="431"/>
        <w:rPr>
          <w:b/>
        </w:rPr>
      </w:pPr>
      <w:r w:rsidRPr="002118ED">
        <w:rPr>
          <w:b/>
        </w:rPr>
        <w:t xml:space="preserve">Özet; </w:t>
      </w:r>
      <w:r w:rsidRPr="002118ED">
        <w:t>yapılan araştırmanın amacının, kullanılan veri toplama araçlarının, yöntemin (yani modelin), elde edilen temel bulguların ve genel sonucun 150-300 kelime arasında olacak şekilde kısaca açıklandığı bölümdür. Bitmiş bir çalışma özetlendiği için, geçmiş zaman kullanılarak yazılmalıdır. Yapılan araştırmanın okuyan kişiye hızlıca tanıtımını sağladığı için şekil, tablo, formül, alıntı, resim vb. yer almamalı; yorum ya da değerlendirme bulunmamalıdır.</w:t>
      </w:r>
    </w:p>
    <w:p w14:paraId="5C05A845" w14:textId="77777777" w:rsidR="008E7D7E" w:rsidRPr="002118ED" w:rsidRDefault="008E7D7E" w:rsidP="008E7D7E">
      <w:pPr>
        <w:spacing w:after="0" w:line="259" w:lineRule="auto"/>
        <w:ind w:left="285" w:right="431"/>
        <w:rPr>
          <w:b/>
        </w:rPr>
      </w:pPr>
    </w:p>
    <w:p w14:paraId="601535C2" w14:textId="77777777" w:rsidR="008E7D7E" w:rsidRDefault="008E7D7E" w:rsidP="008E7D7E">
      <w:pPr>
        <w:spacing w:after="0" w:line="259" w:lineRule="auto"/>
        <w:ind w:left="285" w:right="431"/>
      </w:pPr>
      <w:r w:rsidRPr="002118ED">
        <w:rPr>
          <w:b/>
        </w:rPr>
        <w:t xml:space="preserve">Anahtar Kelimeler; </w:t>
      </w:r>
      <w:r w:rsidRPr="002118ED">
        <w:t>özet bölümünün hemen altında verilir. Araştırma konusu ile ilgili olan anahtar kelimeler kullanılır. Her bir anahtar kelime virgülle ayrılarak yazılmalıdır.</w:t>
      </w:r>
    </w:p>
    <w:p w14:paraId="28BC3363" w14:textId="77777777" w:rsidR="008E7D7E" w:rsidRPr="002118ED" w:rsidRDefault="008E7D7E" w:rsidP="008E7D7E">
      <w:pPr>
        <w:spacing w:after="0" w:line="259" w:lineRule="auto"/>
        <w:ind w:left="285" w:right="431"/>
      </w:pPr>
    </w:p>
    <w:p w14:paraId="570C239F" w14:textId="77777777" w:rsidR="008E7D7E" w:rsidRDefault="008E7D7E" w:rsidP="008E7D7E">
      <w:pPr>
        <w:spacing w:after="0" w:line="259" w:lineRule="auto"/>
        <w:ind w:left="285" w:right="431"/>
        <w:rPr>
          <w:b/>
          <w:i/>
        </w:rPr>
      </w:pPr>
      <w:r>
        <w:rPr>
          <w:b/>
          <w:i/>
        </w:rPr>
        <w:t>GİRİŞ</w:t>
      </w:r>
    </w:p>
    <w:p w14:paraId="07BF6F9E" w14:textId="77777777" w:rsidR="008E7D7E" w:rsidRPr="002118ED" w:rsidRDefault="008E7D7E" w:rsidP="008E7D7E">
      <w:pPr>
        <w:spacing w:after="0" w:line="259" w:lineRule="auto"/>
        <w:ind w:left="285" w:right="431"/>
      </w:pPr>
      <w:r w:rsidRPr="002118ED">
        <w:t xml:space="preserve">Giriş bölümünde; araştırmanın konusu, konu ile ilgili kaynakların taranması sonucunda ulaşılan bilgiler, araştırmanın önemi, araştırmanın amacı ve alt amaçları (araştırma soruları/denenceler) yer almaktadır. Giriş bölümünün alt başlıkları, genellikle kaynak taraması ile ilişkili konu başlıklarından oluşmaktadır. Kaynaklar verilirken kaynağın kime ait olduğu ve yılı mutlaka belirtilmelidir (Örneğin; </w:t>
      </w:r>
      <w:r>
        <w:t>Timur</w:t>
      </w:r>
      <w:r w:rsidRPr="002118ED">
        <w:t>: 20</w:t>
      </w:r>
      <w:r>
        <w:t>00</w:t>
      </w:r>
      <w:r w:rsidRPr="002118ED">
        <w:t>). İnternet kaynağından yara</w:t>
      </w:r>
      <w:r>
        <w:t>r</w:t>
      </w:r>
      <w:r w:rsidRPr="002118ED">
        <w:t>lanıldığında kişi ya da kurum ismi yoksa web adresi verilmelidir.</w:t>
      </w:r>
      <w:r>
        <w:t xml:space="preserve"> </w:t>
      </w:r>
    </w:p>
    <w:p w14:paraId="5629C69B" w14:textId="77777777" w:rsidR="008E7D7E" w:rsidRPr="002118ED" w:rsidRDefault="008E7D7E" w:rsidP="008E7D7E">
      <w:pPr>
        <w:spacing w:after="0" w:line="259" w:lineRule="auto"/>
        <w:ind w:left="285" w:right="431"/>
        <w:rPr>
          <w:b/>
          <w:i/>
        </w:rPr>
      </w:pPr>
    </w:p>
    <w:p w14:paraId="1BB509B8" w14:textId="77777777" w:rsidR="008E7D7E" w:rsidRDefault="008E7D7E" w:rsidP="008E7D7E">
      <w:pPr>
        <w:spacing w:after="0" w:line="259" w:lineRule="auto"/>
        <w:ind w:left="285" w:right="431"/>
      </w:pPr>
      <w:r w:rsidRPr="002118ED">
        <w:t>Giriş bölümünün sonunda, ele alınan konudaki araştırma gereksinimine, yani yapılan araştırmanın önemine yer verilmesi gerekmektedir. Araştırmanın öneminden sonra araştırma amacının ve alt amaçların/soruların belirtilen gereksinimi veya önemi karşılayacak şekilde hazırlanmış olması beklenmektedir. Her bir alt amaçta ise, genel amaçta belirtilen değişkenlerin birer boyutuna yer verilmelidir.</w:t>
      </w:r>
    </w:p>
    <w:p w14:paraId="0B42906B" w14:textId="77777777" w:rsidR="008E7D7E" w:rsidRPr="002118ED" w:rsidRDefault="008E7D7E" w:rsidP="008E7D7E">
      <w:pPr>
        <w:spacing w:after="0" w:line="259" w:lineRule="auto"/>
        <w:ind w:left="285" w:right="431"/>
      </w:pPr>
    </w:p>
    <w:p w14:paraId="13AB11AB" w14:textId="77777777" w:rsidR="008E7D7E" w:rsidRDefault="008E7D7E" w:rsidP="008E7D7E">
      <w:pPr>
        <w:spacing w:after="0" w:line="259" w:lineRule="auto"/>
        <w:ind w:left="285" w:right="431"/>
        <w:rPr>
          <w:b/>
        </w:rPr>
      </w:pPr>
    </w:p>
    <w:p w14:paraId="24D19AD3" w14:textId="77777777" w:rsidR="008E7D7E" w:rsidRPr="002118ED" w:rsidRDefault="008E7D7E" w:rsidP="008E7D7E">
      <w:pPr>
        <w:spacing w:after="0" w:line="259" w:lineRule="auto"/>
        <w:ind w:left="285" w:right="431"/>
        <w:rPr>
          <w:b/>
        </w:rPr>
      </w:pPr>
      <w:r w:rsidRPr="002118ED">
        <w:rPr>
          <w:b/>
        </w:rPr>
        <w:t>YÖNTEM</w:t>
      </w:r>
    </w:p>
    <w:p w14:paraId="182D51FE" w14:textId="77777777" w:rsidR="008E7D7E" w:rsidRPr="002E43B7" w:rsidRDefault="008E7D7E" w:rsidP="008E7D7E">
      <w:pPr>
        <w:spacing w:after="0" w:line="259" w:lineRule="auto"/>
        <w:ind w:left="285" w:right="431"/>
      </w:pPr>
      <w:r w:rsidRPr="002118ED">
        <w:t>Model-Veri Toplama Yöntemi-Veri Toplama Aracı-Çalışma Grubu başlıklarının yer aldığı bölümdür. Yöntem bölümü; araştırmanın nasıl yapıldığının açıklandığı bölümdür. Kullanılan modelin (nicel mi, nitel mi) olduğu yazılır. Alt başlıklardan Veri Toplama Yöntemi, araştırma yapılırken hangi tekniklerin kullanıldığı (Doküman İnceleme-Görüşme-Gözlem vb.); Veri Toplama Aracı, verilerin ne tür araçlar kullanılarak toplandığı (Görüşme/Gözlem Formu, Anket, Gazete, Makale, Tez vb.) sorularının yanıtını ve buna yönelik açıklamaları içermelidir. Çalışma Grubu bölümünde ise verilerin, kimlerden (öğretmen, öğrenci, müdür vb.) ya da hangi kaynaklardan/kurumdan elde edildiği ve sayısı gibi özellikleri bulunmalıdır.</w:t>
      </w:r>
    </w:p>
    <w:p w14:paraId="1DAF3FBD" w14:textId="77777777" w:rsidR="008E7D7E" w:rsidRDefault="008E7D7E" w:rsidP="008E7D7E">
      <w:pPr>
        <w:spacing w:after="0" w:line="259" w:lineRule="auto"/>
        <w:ind w:left="285" w:right="431"/>
        <w:rPr>
          <w:b/>
        </w:rPr>
      </w:pPr>
    </w:p>
    <w:p w14:paraId="672CED8E" w14:textId="77777777" w:rsidR="008E7D7E" w:rsidRDefault="008E7D7E" w:rsidP="008E7D7E">
      <w:pPr>
        <w:spacing w:after="0" w:line="259" w:lineRule="auto"/>
        <w:ind w:left="285" w:right="431"/>
        <w:rPr>
          <w:b/>
        </w:rPr>
      </w:pPr>
      <w:r w:rsidRPr="002118ED">
        <w:rPr>
          <w:b/>
        </w:rPr>
        <w:t>BULGULAR</w:t>
      </w:r>
    </w:p>
    <w:p w14:paraId="41A24DC2" w14:textId="77777777" w:rsidR="008E7D7E" w:rsidRDefault="008E7D7E" w:rsidP="008E7D7E">
      <w:pPr>
        <w:spacing w:after="0" w:line="259" w:lineRule="auto"/>
        <w:ind w:left="285" w:right="431"/>
      </w:pPr>
      <w:r w:rsidRPr="002118ED">
        <w:t xml:space="preserve">Araştırmada belirlenen amaç ve alt amaçların/soruların göz önünde bulundurularak yazıldığı bölümdür. Bu bölümde araştırmadan elde edilen bulgular, analiz sonuçları yer almalıdır. Belirlemiş olduğunuz alt amaçlar/sorulara ilişkin sonuçlar sırası ile verilmelidir. Bulgular yazılırken tablo, çizelge ve şekillerden yararlanılmalıdır. Tablo, çizelge, şekiller numaralandırılmalı; bunların başlığı olmalı, eğer bir yerden alınmışsa tablo, şekil, çizelgenin altına alındığı kaynak yazılmalıdır. Tablolar ile açıklamalar yer </w:t>
      </w:r>
      <w:r w:rsidRPr="002118ED">
        <w:lastRenderedPageBreak/>
        <w:t>almalı; başka bir deyişle tablolar okunmalı, yorum yapılacaksa bu bölümde yapılmalıdır.</w:t>
      </w:r>
    </w:p>
    <w:p w14:paraId="0A8DD7E8" w14:textId="77777777" w:rsidR="008E7D7E" w:rsidRPr="002118ED" w:rsidRDefault="008E7D7E" w:rsidP="008E7D7E">
      <w:pPr>
        <w:spacing w:after="0" w:line="259" w:lineRule="auto"/>
        <w:ind w:left="285" w:right="431"/>
      </w:pPr>
    </w:p>
    <w:p w14:paraId="7EA09D3E" w14:textId="77777777" w:rsidR="008E7D7E" w:rsidRDefault="008E7D7E" w:rsidP="008E7D7E">
      <w:pPr>
        <w:spacing w:after="0" w:line="259" w:lineRule="auto"/>
        <w:ind w:left="285" w:right="431"/>
        <w:rPr>
          <w:b/>
        </w:rPr>
      </w:pPr>
      <w:r w:rsidRPr="002118ED">
        <w:rPr>
          <w:b/>
        </w:rPr>
        <w:t>SONUÇ VE ÖNERİLER</w:t>
      </w:r>
    </w:p>
    <w:p w14:paraId="72BD5C0A" w14:textId="77777777" w:rsidR="008E7D7E" w:rsidRDefault="008E7D7E" w:rsidP="008E7D7E">
      <w:pPr>
        <w:spacing w:after="0" w:line="259" w:lineRule="auto"/>
        <w:ind w:left="285" w:right="431"/>
      </w:pPr>
      <w:r w:rsidRPr="002118ED">
        <w:t>Araştırmanın analizinden yani bulgulardan ulaşılan sonuçlara yer verilir. Sonuçlarda her bir alt amaçlar/sorulara yönelik elde edilen sonuçların aktarılmasına özen gösterilmelidir. Farklı bir kaynaktan alıntı yapılmışsa ilgili kaynak ve tarihi yer almalıdır. Bu bölümün altına elde edilen bulgu ve sonuçlardan yola çıkılarak önerilerde bulunulmalıdır.</w:t>
      </w:r>
    </w:p>
    <w:p w14:paraId="6580EA09" w14:textId="77777777" w:rsidR="008E7D7E" w:rsidRPr="002118ED" w:rsidRDefault="008E7D7E" w:rsidP="008E7D7E">
      <w:pPr>
        <w:spacing w:after="0" w:line="259" w:lineRule="auto"/>
        <w:ind w:left="285" w:right="431"/>
      </w:pPr>
    </w:p>
    <w:p w14:paraId="1D9F4598" w14:textId="77777777" w:rsidR="008E7D7E" w:rsidRPr="00E94480" w:rsidRDefault="008E7D7E" w:rsidP="008E7D7E">
      <w:pPr>
        <w:spacing w:after="0" w:line="259" w:lineRule="auto"/>
        <w:ind w:left="285" w:right="431"/>
        <w:rPr>
          <w:b/>
        </w:rPr>
      </w:pPr>
      <w:r w:rsidRPr="00E94480">
        <w:rPr>
          <w:b/>
        </w:rPr>
        <w:t>KAYNAKÇA</w:t>
      </w:r>
    </w:p>
    <w:p w14:paraId="023DA865" w14:textId="77777777" w:rsidR="008E7D7E" w:rsidRDefault="008E7D7E" w:rsidP="008E7D7E">
      <w:pPr>
        <w:spacing w:after="0" w:line="259" w:lineRule="auto"/>
        <w:ind w:left="285" w:right="431"/>
      </w:pPr>
      <w:r>
        <w:t>Araştırmanın tüm aşamalarını (Giriş, Yöntem, Bulgular …) yazarken yararlanılan ve araştırmanın içinde belirtilen kaynakların liste halinde, tek tek ve detaylı olarak verildiği bölümdür. Kaynaklar alfabetik sırada ve soyadların önce yazılmasına dikkat edilerek verilmelidir.</w:t>
      </w:r>
    </w:p>
    <w:p w14:paraId="1271EBCF" w14:textId="77777777" w:rsidR="008E7D7E" w:rsidRDefault="008E7D7E" w:rsidP="008E7D7E">
      <w:pPr>
        <w:spacing w:after="0" w:line="259" w:lineRule="auto"/>
        <w:ind w:left="285" w:right="431"/>
      </w:pPr>
    </w:p>
    <w:p w14:paraId="377011C2" w14:textId="77777777" w:rsidR="008E7D7E" w:rsidRDefault="008E7D7E" w:rsidP="008E7D7E">
      <w:pPr>
        <w:spacing w:after="0" w:line="259" w:lineRule="auto"/>
        <w:ind w:left="285" w:right="431"/>
      </w:pPr>
      <w:r w:rsidRPr="00BE4A63">
        <w:rPr>
          <w:b/>
        </w:rPr>
        <w:t>Not:</w:t>
      </w:r>
      <w:r>
        <w:t xml:space="preserve"> Yukarıda belirtilen başlıklar “İnceleme-Araştırma Türü” bildiri metinleri için geçerlidir. Bildiri metni, yaptığınız araştırma türüne göre değişiklik gösterebilir. Örneğin; “Derleme Türü” çalışmalar ile “İnceleme-Araştırma Türü” çalışmalarda; Özet, Anahtar Kelimeler, Giriş, Yöntem, Sonuç ve Öneriler, Kaynakça ortak başlıklardır. “Derleme Türü” çalışmalarda Giriş ve Sonuç başlıkları altında daha geniş bilgiler, tanımlar, açıklamalar yer alır; dolayısıyla çok sayıda kaynak olur. “Derleme Türü” araştırmalarda Bulgular bölümü bulunmaz.</w:t>
      </w:r>
    </w:p>
    <w:p w14:paraId="61661ABD" w14:textId="77777777" w:rsidR="008E7D7E" w:rsidRDefault="008E7D7E" w:rsidP="008E7D7E">
      <w:pPr>
        <w:spacing w:after="0" w:line="259" w:lineRule="auto"/>
        <w:ind w:left="285" w:right="431"/>
        <w:jc w:val="left"/>
      </w:pPr>
    </w:p>
    <w:p w14:paraId="251CA7A4" w14:textId="77777777" w:rsidR="008E7D7E" w:rsidRDefault="008E7D7E" w:rsidP="008E7D7E">
      <w:pPr>
        <w:numPr>
          <w:ilvl w:val="0"/>
          <w:numId w:val="1"/>
        </w:numPr>
        <w:ind w:right="431"/>
      </w:pPr>
      <w:r>
        <w:t>Danışman öğretmen rehberliğinde hazırlanacak bildiriler; akademik alanda ortak bir dil kullanılması, literatür taramasının daha hızlı yapılması ve ulaşılan kaynakların daha iyi incelenmesine katkı sağlayacağından APA formatına uygun olarak gönderilecektir.</w:t>
      </w:r>
    </w:p>
    <w:p w14:paraId="57581665" w14:textId="77777777" w:rsidR="008E7D7E" w:rsidRPr="006B2068" w:rsidRDefault="008E7D7E" w:rsidP="008E7D7E">
      <w:pPr>
        <w:numPr>
          <w:ilvl w:val="0"/>
          <w:numId w:val="1"/>
        </w:numPr>
        <w:ind w:right="431"/>
      </w:pPr>
      <w:r>
        <w:t xml:space="preserve">Bildiri metni, Times New Roman karakteri ve yazı tipi boyutu 12 punto kullanılarak Microsoft Office Word formatında hazırlanmalıdır. Özet, tablo, dipnot ve kaynakların yazımındaki punto büyüklüğü ise 10 olmalıdır. </w:t>
      </w:r>
    </w:p>
    <w:p w14:paraId="695FF608" w14:textId="77777777" w:rsidR="008E7D7E" w:rsidRDefault="008E7D7E" w:rsidP="008E7D7E">
      <w:pPr>
        <w:numPr>
          <w:ilvl w:val="0"/>
          <w:numId w:val="1"/>
        </w:numPr>
        <w:ind w:right="431"/>
      </w:pPr>
      <w:r>
        <w:t xml:space="preserve">A4 kâğıdında bütün kenarlardan 2, 5 cm boşluk bırakılmalı, alt bilgi ve üst bilgi ise 1, 25 cm olarak ayarlanmalıdır. </w:t>
      </w:r>
    </w:p>
    <w:p w14:paraId="216E8CD7" w14:textId="77777777" w:rsidR="008E7D7E" w:rsidRDefault="008E7D7E" w:rsidP="008E7D7E">
      <w:pPr>
        <w:numPr>
          <w:ilvl w:val="0"/>
          <w:numId w:val="1"/>
        </w:numPr>
        <w:ind w:right="431"/>
      </w:pPr>
      <w:r>
        <w:t xml:space="preserve">Tek satır aralığı ile yazılacak olan metinde, paragraflar arasında satır aralığı bırakılmamalı; girinti: 0 cm, aralık: önce 6 </w:t>
      </w:r>
      <w:proofErr w:type="spellStart"/>
      <w:r>
        <w:t>nk</w:t>
      </w:r>
      <w:proofErr w:type="spellEnd"/>
      <w:r>
        <w:t xml:space="preserve">- sonra 6 </w:t>
      </w:r>
      <w:proofErr w:type="spellStart"/>
      <w:r>
        <w:t>nk</w:t>
      </w:r>
      <w:proofErr w:type="spellEnd"/>
      <w:r>
        <w:t xml:space="preserve"> olarak ayarlanmalıdır. </w:t>
      </w:r>
    </w:p>
    <w:p w14:paraId="291DD838" w14:textId="77777777" w:rsidR="008E7D7E" w:rsidRDefault="008E7D7E" w:rsidP="008E7D7E">
      <w:pPr>
        <w:numPr>
          <w:ilvl w:val="0"/>
          <w:numId w:val="1"/>
        </w:numPr>
        <w:ind w:right="431"/>
      </w:pPr>
      <w:r>
        <w:t xml:space="preserve">Başlık, büyük harfle koyu olarak ortalı yazılmalı, hemen altında her iki yana yaslı olarak yazarın adı, soyadı yer almalıdır. Sayfa altına verilecek numarasız açıklama dipnotunda sırası ile akademik unvan, kurum ve e-posta adresi bulunmalıdır. </w:t>
      </w:r>
    </w:p>
    <w:p w14:paraId="78FC9416" w14:textId="77777777" w:rsidR="008E7D7E" w:rsidRPr="009F4CC5" w:rsidRDefault="008E7D7E" w:rsidP="008E7D7E">
      <w:pPr>
        <w:numPr>
          <w:ilvl w:val="0"/>
          <w:numId w:val="1"/>
        </w:numPr>
        <w:ind w:right="431"/>
        <w:rPr>
          <w:color w:val="FF0000"/>
        </w:rPr>
      </w:pPr>
      <w:r>
        <w:t xml:space="preserve">Özet, başlık ve yazar adından sonra, 10 punto harf büyüklüğüyle, 150-300 kelime arasında olmalı; en fazla </w:t>
      </w:r>
      <w:r>
        <w:rPr>
          <w:b/>
        </w:rPr>
        <w:t>3-5 anahtar kelime</w:t>
      </w:r>
      <w:r>
        <w:t xml:space="preserve"> verilmelidir. </w:t>
      </w:r>
    </w:p>
    <w:p w14:paraId="0CCA1598" w14:textId="77777777" w:rsidR="008E7D7E" w:rsidRDefault="008E7D7E" w:rsidP="008E7D7E">
      <w:pPr>
        <w:numPr>
          <w:ilvl w:val="0"/>
          <w:numId w:val="1"/>
        </w:numPr>
        <w:ind w:right="431"/>
      </w:pPr>
      <w:r>
        <w:t xml:space="preserve">Fotoğraf, çizim, grafik, harita vb. görsel malzemelerin hepsi şekil olarak tanımlanmalı, nerede kullanılacağının belirlenmesi amacıyla metinde içinde değinme yapılmalı; her bir şeklin 10 punto ile yazılmış ayrı numarası ve açıklaması olmalı, alındığı kaynak belirtilmelidir. Şekillerin numara ve açıklamaları altta, tablolarda ise üstte yazılmış olmalıdır. </w:t>
      </w:r>
    </w:p>
    <w:p w14:paraId="3FAB169A" w14:textId="77777777" w:rsidR="008E7D7E" w:rsidRDefault="008E7D7E" w:rsidP="008E7D7E">
      <w:pPr>
        <w:numPr>
          <w:ilvl w:val="0"/>
          <w:numId w:val="1"/>
        </w:numPr>
        <w:ind w:right="431"/>
      </w:pPr>
      <w:r>
        <w:lastRenderedPageBreak/>
        <w:t xml:space="preserve">Şekiller ayrı bir klasör olarak, bildiri tam metniyle aynı e-posta ile gönderilmelidir. Her bir Şekil, 1MB dan küçük olmayacak boyutta ve JPG ya da TIF uzantılı olarak hazırlanmalıdır. </w:t>
      </w:r>
    </w:p>
    <w:p w14:paraId="218ED622" w14:textId="77777777" w:rsidR="008E7D7E" w:rsidRDefault="008E7D7E" w:rsidP="008E7D7E">
      <w:pPr>
        <w:numPr>
          <w:ilvl w:val="0"/>
          <w:numId w:val="1"/>
        </w:numPr>
        <w:ind w:right="431"/>
      </w:pPr>
      <w:r>
        <w:t xml:space="preserve">Metin içerisinde kaynak gösterilecek ise parantez içinde yazar soyadı, yayın yılı ve sayfa numarası sıralı biçimde (Çaycı, 2002:520); dipnot olarak gösterilecek ise yazar adı, soyadı, kitabın adı (italik); (makale ise tırnak içinde ve dergi adı italik), yayınevi, yayın yeri, tarihi, sayfa numarası sıralı biçimde verilmelidir. Kullanılan kaynaklar, metin sonunda soyadına göre alfabetik olarak sıralanmış ve aşağıdaki örneklere uygun olarak verilmelidir. </w:t>
      </w:r>
    </w:p>
    <w:p w14:paraId="7FB99510" w14:textId="77777777" w:rsidR="008E7D7E" w:rsidRDefault="008E7D7E" w:rsidP="008E7D7E">
      <w:pPr>
        <w:ind w:left="285" w:right="431"/>
      </w:pPr>
    </w:p>
    <w:p w14:paraId="0D98884B" w14:textId="77777777" w:rsidR="008E7D7E" w:rsidRPr="00E94480" w:rsidRDefault="008E7D7E" w:rsidP="008E7D7E">
      <w:pPr>
        <w:ind w:left="285" w:right="431"/>
        <w:rPr>
          <w:b/>
        </w:rPr>
      </w:pPr>
      <w:r w:rsidRPr="00E94480">
        <w:rPr>
          <w:b/>
        </w:rPr>
        <w:t xml:space="preserve">METİN İÇİ KAYNAK GÖSTERME </w:t>
      </w:r>
    </w:p>
    <w:p w14:paraId="2FB153EE" w14:textId="77777777" w:rsidR="008E7D7E" w:rsidRDefault="008E7D7E" w:rsidP="008E7D7E">
      <w:pPr>
        <w:numPr>
          <w:ilvl w:val="0"/>
          <w:numId w:val="2"/>
        </w:numPr>
        <w:ind w:right="431"/>
      </w:pPr>
      <w:r>
        <w:t>Yazar soyadı, yıl ve sayfa kullanılarak (Yazar, 1999: 113) şeklinde yapılmalıdır.</w:t>
      </w:r>
    </w:p>
    <w:p w14:paraId="40ED8B28" w14:textId="77777777" w:rsidR="008E7D7E" w:rsidRDefault="008E7D7E" w:rsidP="008E7D7E">
      <w:pPr>
        <w:numPr>
          <w:ilvl w:val="0"/>
          <w:numId w:val="2"/>
        </w:numPr>
        <w:ind w:right="431"/>
      </w:pPr>
      <w:r>
        <w:t xml:space="preserve"> İki yazarlı eserlerde iki yazarın soyadı (Yazar ve Yazar, 2000: 120) şeklinde kullanılmalıdır. </w:t>
      </w:r>
    </w:p>
    <w:p w14:paraId="7400521F" w14:textId="77777777" w:rsidR="008E7D7E" w:rsidRDefault="008E7D7E" w:rsidP="008E7D7E">
      <w:pPr>
        <w:numPr>
          <w:ilvl w:val="0"/>
          <w:numId w:val="2"/>
        </w:numPr>
        <w:ind w:right="431"/>
      </w:pPr>
      <w:r>
        <w:t xml:space="preserve">Daha çok yazarlı eserler, yalnızca ilk yazarın soyadı verilerek (Yazar vd.) şeklinde ve yine benzer biçimde yıl ve sayfa numarası yazılarak kullanılmalıdır. </w:t>
      </w:r>
    </w:p>
    <w:p w14:paraId="4B5B723C" w14:textId="77777777" w:rsidR="008E7D7E" w:rsidRDefault="008E7D7E" w:rsidP="008E7D7E">
      <w:pPr>
        <w:numPr>
          <w:ilvl w:val="0"/>
          <w:numId w:val="2"/>
        </w:numPr>
        <w:ind w:right="431"/>
      </w:pPr>
      <w:r>
        <w:t xml:space="preserve">Atıfta bulunulan eserler “Kaynakça” bölümünde ilk yazarın soyadına göre alfabetik liste olarak sıralanmalıdır. </w:t>
      </w:r>
    </w:p>
    <w:p w14:paraId="0E3A551F" w14:textId="77777777" w:rsidR="008E7D7E" w:rsidRDefault="008E7D7E" w:rsidP="008E7D7E">
      <w:pPr>
        <w:numPr>
          <w:ilvl w:val="0"/>
          <w:numId w:val="2"/>
        </w:numPr>
        <w:ind w:right="431"/>
      </w:pPr>
      <w:r>
        <w:t xml:space="preserve">Tüm yazarları aynı olan eserler yılına göre eskiden yeniye doğru sıralanmalıdır. </w:t>
      </w:r>
    </w:p>
    <w:p w14:paraId="6EE03A42" w14:textId="77777777" w:rsidR="008E7D7E" w:rsidRDefault="008E7D7E" w:rsidP="008E7D7E">
      <w:pPr>
        <w:numPr>
          <w:ilvl w:val="0"/>
          <w:numId w:val="2"/>
        </w:numPr>
        <w:ind w:right="431"/>
      </w:pPr>
      <w:r>
        <w:t>Tüm yazarları ve yılları aynı olan eserler ise yılın sonuna eklenen küçük harfler kullanılarak “</w:t>
      </w:r>
      <w:proofErr w:type="gramStart"/>
      <w:r>
        <w:t>1999a</w:t>
      </w:r>
      <w:proofErr w:type="gramEnd"/>
      <w:r>
        <w:t xml:space="preserve">” ve “1999b” şeklinde birbirlerinden ayrılmalıdır. İlk yazarı ve yılı aynı olan üç ve daha fazla yazarlı eserler de aynı şekilde ayrılmalıdır. Örneğin: (Apaydın, </w:t>
      </w:r>
      <w:proofErr w:type="gramStart"/>
      <w:r>
        <w:t>1999a</w:t>
      </w:r>
      <w:proofErr w:type="gramEnd"/>
      <w:r>
        <w:t xml:space="preserve">: 250); (Apaydın, 1999b: 132) </w:t>
      </w:r>
    </w:p>
    <w:p w14:paraId="2B27F86E" w14:textId="77777777" w:rsidR="008E7D7E" w:rsidRDefault="008E7D7E" w:rsidP="008E7D7E">
      <w:pPr>
        <w:numPr>
          <w:ilvl w:val="0"/>
          <w:numId w:val="2"/>
        </w:numPr>
        <w:ind w:right="431"/>
      </w:pPr>
      <w:r>
        <w:t xml:space="preserve">Metinde paragraflar sola yaslı olarak başlatılır. Metnin tümü iki yana yaslı olarak düzenlenmelidir. </w:t>
      </w:r>
    </w:p>
    <w:p w14:paraId="37725094" w14:textId="77777777" w:rsidR="008E7D7E" w:rsidRDefault="008E7D7E" w:rsidP="008E7D7E">
      <w:pPr>
        <w:numPr>
          <w:ilvl w:val="0"/>
          <w:numId w:val="2"/>
        </w:numPr>
        <w:ind w:right="431"/>
      </w:pPr>
      <w:r>
        <w:t xml:space="preserve">Metin içinde kitap, dergi ve film, TV programı adları italik yazılır. Örneğin: “Tarihin Arka </w:t>
      </w:r>
    </w:p>
    <w:p w14:paraId="378A1595" w14:textId="77777777" w:rsidR="008E7D7E" w:rsidRDefault="008E7D7E" w:rsidP="008E7D7E">
      <w:pPr>
        <w:ind w:left="361" w:right="431" w:hanging="361"/>
      </w:pPr>
      <w:r>
        <w:t xml:space="preserve">       Odası programında (…).” </w:t>
      </w:r>
    </w:p>
    <w:p w14:paraId="476ACA79" w14:textId="77777777" w:rsidR="008E7D7E" w:rsidRDefault="008E7D7E" w:rsidP="008E7D7E">
      <w:pPr>
        <w:numPr>
          <w:ilvl w:val="0"/>
          <w:numId w:val="2"/>
        </w:numPr>
        <w:spacing w:after="1" w:line="261" w:lineRule="auto"/>
        <w:ind w:right="431"/>
      </w:pPr>
      <w:r>
        <w:t xml:space="preserve">Bir ifadeyi aniden kesintiye uğratacak bir bilgi veriliyorsa, çift çizgi kullanılır. Örneğin: “Bu iki katılımcı -biri ilk gruptan diğeri ikinci gruptan seçilmişlerdi- ayrı ayrı test edildiler.” </w:t>
      </w:r>
    </w:p>
    <w:p w14:paraId="66E65986" w14:textId="77777777" w:rsidR="008E7D7E" w:rsidRDefault="008E7D7E" w:rsidP="008E7D7E">
      <w:pPr>
        <w:numPr>
          <w:ilvl w:val="0"/>
          <w:numId w:val="2"/>
        </w:numPr>
        <w:spacing w:after="1" w:line="261" w:lineRule="auto"/>
        <w:ind w:right="431"/>
      </w:pPr>
      <w:r>
        <w:t xml:space="preserve"> Metinde dipnotlar, ilgili olduğu sayfada numaralandırılarak verilir; metin sonuna konulmaz. </w:t>
      </w:r>
    </w:p>
    <w:p w14:paraId="2E055427" w14:textId="77777777" w:rsidR="008E7D7E" w:rsidRDefault="008E7D7E" w:rsidP="008E7D7E">
      <w:pPr>
        <w:numPr>
          <w:ilvl w:val="0"/>
          <w:numId w:val="2"/>
        </w:numPr>
        <w:spacing w:after="244"/>
        <w:ind w:right="431"/>
      </w:pPr>
      <w:r>
        <w:t xml:space="preserve">Metinde sadece tek ek var ise Ek olarak italik başlıklandırılabilir ve metinde böyle yer alabilir. Birden çok ek var ise Ek A, Ek B biçiminde </w:t>
      </w:r>
      <w:proofErr w:type="spellStart"/>
      <w:r>
        <w:t>harflendirilerek</w:t>
      </w:r>
      <w:proofErr w:type="spellEnd"/>
      <w:r>
        <w:t xml:space="preserve"> sıralanabilir. Metin sonunda yer alan bu eklere başlıkları verilmelidir. Ana metinde etiketleri ile belirtilmelidir. Örneğin: “Türkiye’de yapılmış haber konusundaki yüksek lisans ve doktora tezlerinin konu dağılımına bakıldığında (Ek A ve Ek B), 1990’lardan itibaren bunların çoğunun temsil, ideoloji ve söylem meselelerine odaklandığı görülmektedir.” </w:t>
      </w:r>
    </w:p>
    <w:p w14:paraId="1D7A3A48" w14:textId="77777777" w:rsidR="008E7D7E" w:rsidRPr="00E94480" w:rsidRDefault="008E7D7E" w:rsidP="008E7D7E">
      <w:pPr>
        <w:spacing w:after="24" w:line="259" w:lineRule="auto"/>
        <w:ind w:left="0"/>
        <w:jc w:val="left"/>
      </w:pPr>
      <w:r>
        <w:t xml:space="preserve"> </w:t>
      </w:r>
      <w:r w:rsidRPr="00E94480">
        <w:rPr>
          <w:b/>
        </w:rPr>
        <w:t>KAYNAKÇA YAZIMI</w:t>
      </w:r>
    </w:p>
    <w:p w14:paraId="751A9506" w14:textId="77777777" w:rsidR="008E7D7E" w:rsidRDefault="008E7D7E" w:rsidP="008E7D7E">
      <w:pPr>
        <w:tabs>
          <w:tab w:val="left" w:pos="5387"/>
        </w:tabs>
        <w:ind w:left="-5" w:right="3979"/>
        <w:jc w:val="left"/>
        <w:rPr>
          <w:b/>
        </w:rPr>
      </w:pPr>
      <w:r>
        <w:rPr>
          <w:b/>
        </w:rPr>
        <w:t>Kitap:</w:t>
      </w:r>
    </w:p>
    <w:p w14:paraId="17D40237" w14:textId="77777777" w:rsidR="008E7D7E" w:rsidRDefault="008E7D7E" w:rsidP="008E7D7E">
      <w:pPr>
        <w:tabs>
          <w:tab w:val="left" w:pos="5387"/>
        </w:tabs>
        <w:ind w:left="-5" w:right="3979"/>
        <w:jc w:val="left"/>
      </w:pPr>
      <w:r>
        <w:t xml:space="preserve">•     Kitaplarda kullanılan baskı esas alınacaktır.  </w:t>
      </w:r>
    </w:p>
    <w:p w14:paraId="3B65B559" w14:textId="77777777" w:rsidR="008E7D7E" w:rsidRDefault="008E7D7E" w:rsidP="008E7D7E">
      <w:pPr>
        <w:numPr>
          <w:ilvl w:val="0"/>
          <w:numId w:val="2"/>
        </w:numPr>
        <w:ind w:right="431"/>
      </w:pPr>
      <w:r>
        <w:t xml:space="preserve">Timur, T. (2000). Toplumsal Değişme ve Üniversiteler. Ankara: İmge Kitabevi. </w:t>
      </w:r>
    </w:p>
    <w:p w14:paraId="47EAE81B" w14:textId="77777777" w:rsidR="008E7D7E" w:rsidRDefault="008E7D7E" w:rsidP="008E7D7E">
      <w:pPr>
        <w:ind w:left="0" w:right="431"/>
      </w:pPr>
      <w:r>
        <w:rPr>
          <w:b/>
        </w:rPr>
        <w:t xml:space="preserve">İki ya da Üç Yazarlı Kitap: </w:t>
      </w:r>
    </w:p>
    <w:p w14:paraId="19D7264F" w14:textId="77777777" w:rsidR="008E7D7E" w:rsidRDefault="008E7D7E" w:rsidP="008E7D7E">
      <w:pPr>
        <w:numPr>
          <w:ilvl w:val="0"/>
          <w:numId w:val="2"/>
        </w:numPr>
        <w:ind w:right="431"/>
      </w:pPr>
      <w:r>
        <w:lastRenderedPageBreak/>
        <w:t xml:space="preserve">Vatansever, A. ve Yalçın, M. G. (2015). Ne Ders Olsa Veririz: Akademisyenin Vasıfsız İşçiye Dönüşümü. İstanbul: İletişim Yayınları. </w:t>
      </w:r>
    </w:p>
    <w:p w14:paraId="6DE557A6" w14:textId="77777777" w:rsidR="008E7D7E" w:rsidRDefault="008E7D7E" w:rsidP="008E7D7E">
      <w:pPr>
        <w:spacing w:after="0" w:line="259" w:lineRule="auto"/>
        <w:ind w:left="-5"/>
        <w:jc w:val="left"/>
      </w:pPr>
      <w:r>
        <w:rPr>
          <w:b/>
        </w:rPr>
        <w:t xml:space="preserve">Üçten Fazla Yazarlı Kitap: </w:t>
      </w:r>
    </w:p>
    <w:p w14:paraId="126068EE" w14:textId="77777777" w:rsidR="008E7D7E" w:rsidRDefault="008E7D7E" w:rsidP="008E7D7E">
      <w:pPr>
        <w:numPr>
          <w:ilvl w:val="0"/>
          <w:numId w:val="2"/>
        </w:numPr>
        <w:ind w:right="431"/>
      </w:pPr>
      <w:r>
        <w:t xml:space="preserve">Doğu, B., Aydemir, A. T., Özçetin, B., İslamoğlu, G., </w:t>
      </w:r>
      <w:proofErr w:type="spellStart"/>
      <w:r>
        <w:t>Bayraktutan</w:t>
      </w:r>
      <w:proofErr w:type="spellEnd"/>
      <w:r>
        <w:t xml:space="preserve">, G., </w:t>
      </w:r>
      <w:proofErr w:type="spellStart"/>
      <w:r>
        <w:t>Binark</w:t>
      </w:r>
      <w:proofErr w:type="spellEnd"/>
      <w:r>
        <w:t xml:space="preserve">, M. ve </w:t>
      </w:r>
      <w:proofErr w:type="spellStart"/>
      <w:r>
        <w:t>Çomu</w:t>
      </w:r>
      <w:proofErr w:type="spellEnd"/>
      <w:r>
        <w:t xml:space="preserve">, T. (2014). Siyasetin Yeni Hali. İstanbul: Kalkedon Yayınları. </w:t>
      </w:r>
    </w:p>
    <w:p w14:paraId="17A61C0D" w14:textId="77777777" w:rsidR="008E7D7E" w:rsidRDefault="008E7D7E" w:rsidP="008E7D7E">
      <w:pPr>
        <w:ind w:left="-142" w:right="431"/>
      </w:pPr>
      <w:r>
        <w:rPr>
          <w:b/>
        </w:rPr>
        <w:t xml:space="preserve">Editörlü Kitap: </w:t>
      </w:r>
    </w:p>
    <w:p w14:paraId="5A8ECAEE" w14:textId="77777777" w:rsidR="008E7D7E" w:rsidRDefault="008E7D7E" w:rsidP="008E7D7E">
      <w:pPr>
        <w:numPr>
          <w:ilvl w:val="0"/>
          <w:numId w:val="2"/>
        </w:numPr>
        <w:ind w:right="431"/>
      </w:pPr>
      <w:r>
        <w:t xml:space="preserve">Özbek, M. (Ed.) (2005). Kamusal Alan. İstanbul: </w:t>
      </w:r>
      <w:proofErr w:type="spellStart"/>
      <w:r>
        <w:t>Hil</w:t>
      </w:r>
      <w:proofErr w:type="spellEnd"/>
      <w:r>
        <w:t xml:space="preserve"> Yayınları. </w:t>
      </w:r>
    </w:p>
    <w:p w14:paraId="330BECBF" w14:textId="77777777" w:rsidR="008E7D7E" w:rsidRDefault="008E7D7E" w:rsidP="008E7D7E">
      <w:pPr>
        <w:ind w:left="-5" w:right="431"/>
        <w:rPr>
          <w:b/>
        </w:rPr>
      </w:pPr>
      <w:r>
        <w:rPr>
          <w:b/>
        </w:rPr>
        <w:t xml:space="preserve">Kitapta Bölüm: </w:t>
      </w:r>
    </w:p>
    <w:p w14:paraId="6B861E85" w14:textId="77777777" w:rsidR="008E7D7E" w:rsidRDefault="008E7D7E" w:rsidP="008E7D7E">
      <w:pPr>
        <w:ind w:left="426" w:right="431" w:hanging="431"/>
      </w:pPr>
      <w:r>
        <w:t xml:space="preserve">•       Yıldız, A. (2015). Girişimcilik, Kobi’ler ve Strateji. Girişimcilik Üzerine Temel </w:t>
      </w:r>
      <w:proofErr w:type="gramStart"/>
      <w:r>
        <w:t xml:space="preserve">Kavramlar:   </w:t>
      </w:r>
      <w:proofErr w:type="gramEnd"/>
      <w:r>
        <w:t xml:space="preserve"> Girişim, Girişimci, Girişimcilik Kavramları. Ankara: Gazi Kitabevi, (s. 1-22).</w:t>
      </w:r>
    </w:p>
    <w:p w14:paraId="134DCAEE" w14:textId="77777777" w:rsidR="008E7D7E" w:rsidRDefault="008E7D7E" w:rsidP="008E7D7E">
      <w:pPr>
        <w:ind w:left="-5" w:right="431"/>
      </w:pPr>
      <w:r>
        <w:rPr>
          <w:b/>
        </w:rPr>
        <w:t xml:space="preserve">Çeviri Kitap: </w:t>
      </w:r>
    </w:p>
    <w:p w14:paraId="2A6ED49E" w14:textId="77777777" w:rsidR="008E7D7E" w:rsidRDefault="008E7D7E" w:rsidP="008E7D7E">
      <w:pPr>
        <w:numPr>
          <w:ilvl w:val="0"/>
          <w:numId w:val="2"/>
        </w:numPr>
        <w:ind w:right="431"/>
      </w:pPr>
      <w:r>
        <w:t>Lewis, B. (2000). Modern Türkiye’nin Doğuşu. (</w:t>
      </w:r>
      <w:proofErr w:type="gramStart"/>
      <w:r>
        <w:t>çev.</w:t>
      </w:r>
      <w:proofErr w:type="gramEnd"/>
      <w:r>
        <w:t xml:space="preserve"> M. Kıratlı). Ankara: Türk Tarih Kurumu.</w:t>
      </w:r>
    </w:p>
    <w:p w14:paraId="78DF882A" w14:textId="77777777" w:rsidR="008E7D7E" w:rsidRDefault="008E7D7E" w:rsidP="008E7D7E">
      <w:pPr>
        <w:ind w:left="0" w:right="431"/>
      </w:pPr>
      <w:r>
        <w:t xml:space="preserve"> </w:t>
      </w:r>
      <w:r>
        <w:rPr>
          <w:b/>
        </w:rPr>
        <w:t xml:space="preserve">Basılı Dergilerde Makale: </w:t>
      </w:r>
    </w:p>
    <w:p w14:paraId="32779A23" w14:textId="77777777" w:rsidR="008E7D7E" w:rsidRDefault="008E7D7E" w:rsidP="008E7D7E">
      <w:pPr>
        <w:numPr>
          <w:ilvl w:val="0"/>
          <w:numId w:val="2"/>
        </w:numPr>
        <w:ind w:right="431"/>
      </w:pPr>
      <w:r>
        <w:t>Bulut, H. (2001</w:t>
      </w:r>
      <w:proofErr w:type="gramStart"/>
      <w:r>
        <w:t>).“</w:t>
      </w:r>
      <w:proofErr w:type="gramEnd"/>
      <w:r>
        <w:t xml:space="preserve">Kitle İletişim Araçları ve Suskunluk Sarmalı”. Gazi Üniversitesi Eğitim </w:t>
      </w:r>
    </w:p>
    <w:p w14:paraId="3160F354" w14:textId="77777777" w:rsidR="008E7D7E" w:rsidRDefault="008E7D7E" w:rsidP="008E7D7E">
      <w:pPr>
        <w:ind w:left="-5" w:right="3703"/>
      </w:pPr>
      <w:r>
        <w:t xml:space="preserve">      Bilimleri Fakültesi Dergisi. 32(1-2): 1382-1385. </w:t>
      </w:r>
    </w:p>
    <w:p w14:paraId="6F63A359" w14:textId="77777777" w:rsidR="008E7D7E" w:rsidRDefault="008E7D7E" w:rsidP="008E7D7E">
      <w:pPr>
        <w:ind w:left="-5" w:right="3703"/>
      </w:pPr>
      <w:r>
        <w:rPr>
          <w:b/>
        </w:rPr>
        <w:t xml:space="preserve">Elektronik Dergilerde Makale: </w:t>
      </w:r>
    </w:p>
    <w:p w14:paraId="5C7E7242" w14:textId="77777777" w:rsidR="008E7D7E" w:rsidRDefault="008E7D7E" w:rsidP="008E7D7E">
      <w:pPr>
        <w:numPr>
          <w:ilvl w:val="0"/>
          <w:numId w:val="2"/>
        </w:numPr>
        <w:ind w:right="431"/>
      </w:pPr>
      <w:proofErr w:type="spellStart"/>
      <w:r>
        <w:t>Conway</w:t>
      </w:r>
      <w:proofErr w:type="spellEnd"/>
      <w:r>
        <w:t>, P. (2003). “</w:t>
      </w:r>
      <w:proofErr w:type="spellStart"/>
      <w:r>
        <w:t>TruthAndReconciliation</w:t>
      </w:r>
      <w:proofErr w:type="spellEnd"/>
      <w:r>
        <w:t xml:space="preserve">: </w:t>
      </w:r>
      <w:proofErr w:type="spellStart"/>
      <w:r>
        <w:t>TheRoad</w:t>
      </w:r>
      <w:proofErr w:type="spellEnd"/>
      <w:r>
        <w:t xml:space="preserve"> Not </w:t>
      </w:r>
      <w:proofErr w:type="spellStart"/>
      <w:r>
        <w:t>Taken</w:t>
      </w:r>
      <w:proofErr w:type="spellEnd"/>
      <w:r>
        <w:t xml:space="preserve"> İn </w:t>
      </w:r>
      <w:proofErr w:type="spellStart"/>
      <w:r>
        <w:t>Nambia</w:t>
      </w:r>
      <w:proofErr w:type="spellEnd"/>
      <w:r>
        <w:t xml:space="preserve">”. Online </w:t>
      </w:r>
      <w:proofErr w:type="spellStart"/>
      <w:r>
        <w:t>Journal</w:t>
      </w:r>
      <w:proofErr w:type="spellEnd"/>
      <w:r>
        <w:t xml:space="preserve"> of </w:t>
      </w:r>
      <w:proofErr w:type="spellStart"/>
      <w:r>
        <w:t>PeaceandConflictResolution</w:t>
      </w:r>
      <w:proofErr w:type="spellEnd"/>
      <w:r>
        <w:t xml:space="preserve">. 5 (1): 50-57. </w:t>
      </w:r>
    </w:p>
    <w:p w14:paraId="79F24196" w14:textId="77777777" w:rsidR="008E7D7E" w:rsidRDefault="008E7D7E" w:rsidP="008E7D7E">
      <w:pPr>
        <w:numPr>
          <w:ilvl w:val="0"/>
          <w:numId w:val="2"/>
        </w:numPr>
        <w:ind w:right="431"/>
      </w:pPr>
      <w:r>
        <w:t xml:space="preserve">Varsa </w:t>
      </w:r>
      <w:proofErr w:type="spellStart"/>
      <w:r>
        <w:t>doi</w:t>
      </w:r>
      <w:proofErr w:type="spellEnd"/>
      <w:r>
        <w:t xml:space="preserve"> numarası, yoksa URL verilir. </w:t>
      </w:r>
    </w:p>
    <w:p w14:paraId="5DCB221C" w14:textId="77777777" w:rsidR="008E7D7E" w:rsidRDefault="008E7D7E" w:rsidP="008E7D7E">
      <w:pPr>
        <w:numPr>
          <w:ilvl w:val="0"/>
          <w:numId w:val="2"/>
        </w:numPr>
        <w:ind w:right="431"/>
      </w:pPr>
      <w:r>
        <w:t xml:space="preserve">URL örneği: http://www.trinstitute.org/ojpcr/5_1conway.htm </w:t>
      </w:r>
    </w:p>
    <w:p w14:paraId="54E86782" w14:textId="77777777" w:rsidR="008E7D7E" w:rsidRDefault="008E7D7E" w:rsidP="008E7D7E">
      <w:pPr>
        <w:spacing w:after="0" w:line="259" w:lineRule="auto"/>
        <w:ind w:left="0"/>
        <w:jc w:val="left"/>
      </w:pPr>
      <w:r>
        <w:rPr>
          <w:b/>
        </w:rPr>
        <w:t xml:space="preserve"> İki ya da Üç Yazarlı Makale: </w:t>
      </w:r>
    </w:p>
    <w:p w14:paraId="72D7D02C" w14:textId="77777777" w:rsidR="008E7D7E" w:rsidRDefault="008E7D7E" w:rsidP="008E7D7E">
      <w:pPr>
        <w:numPr>
          <w:ilvl w:val="0"/>
          <w:numId w:val="2"/>
        </w:numPr>
        <w:ind w:right="431"/>
      </w:pPr>
      <w:r>
        <w:t xml:space="preserve">Çelik Berber, Ç. ve Odacı, H. (2015). “Akademik Erteleme Davranışının Bazı Kişisel </w:t>
      </w:r>
      <w:proofErr w:type="gramStart"/>
      <w:r>
        <w:t>Ve</w:t>
      </w:r>
      <w:proofErr w:type="gramEnd"/>
      <w:r>
        <w:t xml:space="preserve"> </w:t>
      </w:r>
    </w:p>
    <w:p w14:paraId="5C5A220B" w14:textId="77777777" w:rsidR="008E7D7E" w:rsidRDefault="008E7D7E" w:rsidP="008E7D7E">
      <w:pPr>
        <w:spacing w:after="1" w:line="261" w:lineRule="auto"/>
        <w:ind w:left="-5" w:right="424"/>
        <w:jc w:val="left"/>
      </w:pPr>
      <w:r>
        <w:t xml:space="preserve">Psikolojik Değişkenlere Göre Açıklanması”. Hacettepe Üniversitesi Eğitim Fakültesi Dergisi. 30(3): 31-47. </w:t>
      </w:r>
    </w:p>
    <w:p w14:paraId="08D8D5CB" w14:textId="77777777" w:rsidR="008E7D7E" w:rsidRDefault="008E7D7E" w:rsidP="008E7D7E">
      <w:pPr>
        <w:spacing w:after="1" w:line="261" w:lineRule="auto"/>
        <w:ind w:left="-5" w:right="424"/>
        <w:jc w:val="left"/>
      </w:pPr>
      <w:r>
        <w:rPr>
          <w:b/>
        </w:rPr>
        <w:t xml:space="preserve">Üçten Fazla Yazarlı Makale: </w:t>
      </w:r>
    </w:p>
    <w:p w14:paraId="018E7F67" w14:textId="77777777" w:rsidR="008E7D7E" w:rsidRPr="00852775" w:rsidRDefault="008E7D7E" w:rsidP="008E7D7E">
      <w:pPr>
        <w:pStyle w:val="ListeParagraf"/>
        <w:numPr>
          <w:ilvl w:val="0"/>
          <w:numId w:val="3"/>
        </w:numPr>
        <w:spacing w:after="1" w:line="261" w:lineRule="auto"/>
        <w:ind w:right="424"/>
        <w:rPr>
          <w:rFonts w:ascii="Times New Roman" w:hAnsi="Times New Roman" w:cs="Times New Roman"/>
          <w:sz w:val="24"/>
          <w:szCs w:val="24"/>
        </w:rPr>
      </w:pPr>
      <w:r w:rsidRPr="00852775">
        <w:rPr>
          <w:rFonts w:ascii="Times New Roman" w:hAnsi="Times New Roman" w:cs="Times New Roman"/>
          <w:sz w:val="24"/>
          <w:szCs w:val="24"/>
        </w:rPr>
        <w:t xml:space="preserve">Küçük, O. vd. (2015). “Toplam Kalite Yönetiminin İşletme Performansına Etkisi: Lojistik Sektöründe Bir Uygulama”. </w:t>
      </w:r>
      <w:proofErr w:type="spellStart"/>
      <w:r w:rsidRPr="00852775">
        <w:rPr>
          <w:rFonts w:ascii="Times New Roman" w:hAnsi="Times New Roman" w:cs="Times New Roman"/>
          <w:sz w:val="24"/>
          <w:szCs w:val="24"/>
        </w:rPr>
        <w:t>TheJournal</w:t>
      </w:r>
      <w:proofErr w:type="spellEnd"/>
      <w:r w:rsidRPr="00852775">
        <w:rPr>
          <w:rFonts w:ascii="Times New Roman" w:hAnsi="Times New Roman" w:cs="Times New Roman"/>
          <w:sz w:val="24"/>
          <w:szCs w:val="24"/>
        </w:rPr>
        <w:t xml:space="preserve"> of </w:t>
      </w:r>
      <w:proofErr w:type="spellStart"/>
      <w:r w:rsidRPr="00852775">
        <w:rPr>
          <w:rFonts w:ascii="Times New Roman" w:hAnsi="Times New Roman" w:cs="Times New Roman"/>
          <w:sz w:val="24"/>
          <w:szCs w:val="24"/>
        </w:rPr>
        <w:t>AcademicSocialScienceStudies</w:t>
      </w:r>
      <w:proofErr w:type="spellEnd"/>
      <w:r w:rsidRPr="00852775">
        <w:rPr>
          <w:rFonts w:ascii="Times New Roman" w:hAnsi="Times New Roman" w:cs="Times New Roman"/>
          <w:sz w:val="24"/>
          <w:szCs w:val="24"/>
        </w:rPr>
        <w:t xml:space="preserve">. 34(4): 53-67. </w:t>
      </w:r>
    </w:p>
    <w:p w14:paraId="52BA3DCD" w14:textId="77777777" w:rsidR="008E7D7E" w:rsidRDefault="008E7D7E" w:rsidP="008E7D7E">
      <w:pPr>
        <w:ind w:left="355" w:right="431" w:hanging="360"/>
      </w:pPr>
      <w:r>
        <w:rPr>
          <w:b/>
        </w:rPr>
        <w:t xml:space="preserve">Tez: </w:t>
      </w:r>
    </w:p>
    <w:p w14:paraId="4DE1C1D5" w14:textId="77777777" w:rsidR="008E7D7E" w:rsidRDefault="008E7D7E" w:rsidP="008E7D7E">
      <w:pPr>
        <w:numPr>
          <w:ilvl w:val="0"/>
          <w:numId w:val="2"/>
        </w:numPr>
        <w:ind w:right="431"/>
      </w:pPr>
      <w:r>
        <w:t xml:space="preserve">Bayramoğlu, S. (2012). Türkiye’de Finansal Serbestleşmenin İktisadi </w:t>
      </w:r>
      <w:proofErr w:type="gramStart"/>
      <w:r>
        <w:t>Ve</w:t>
      </w:r>
      <w:proofErr w:type="gramEnd"/>
      <w:r>
        <w:t xml:space="preserve"> Mali Yapıdaki Dönüşüme Etkisi: 2000 Yılı Sonrasının Değerlendirilmesi. Yayınlanmamış Yüksek Lisans </w:t>
      </w:r>
    </w:p>
    <w:p w14:paraId="68D5DDF2" w14:textId="77777777" w:rsidR="008E7D7E" w:rsidRDefault="008E7D7E" w:rsidP="008E7D7E">
      <w:pPr>
        <w:ind w:left="-5" w:right="4696"/>
      </w:pPr>
      <w:r>
        <w:t xml:space="preserve">      Tezi, Gaziosmanpaşa Üniversitesi, Tokat. </w:t>
      </w:r>
    </w:p>
    <w:p w14:paraId="6FB07762" w14:textId="77777777" w:rsidR="008E7D7E" w:rsidRDefault="008E7D7E" w:rsidP="008E7D7E">
      <w:pPr>
        <w:ind w:left="-5" w:right="4696"/>
        <w:rPr>
          <w:b/>
        </w:rPr>
      </w:pPr>
    </w:p>
    <w:p w14:paraId="5FE0EF13" w14:textId="77777777" w:rsidR="008E7D7E" w:rsidRDefault="008E7D7E" w:rsidP="008E7D7E">
      <w:pPr>
        <w:ind w:left="-5" w:right="4696"/>
      </w:pPr>
      <w:r>
        <w:rPr>
          <w:b/>
        </w:rPr>
        <w:t xml:space="preserve">Bildiri: </w:t>
      </w:r>
    </w:p>
    <w:p w14:paraId="53408B23" w14:textId="77777777" w:rsidR="008E7D7E" w:rsidRDefault="008E7D7E" w:rsidP="008E7D7E">
      <w:pPr>
        <w:numPr>
          <w:ilvl w:val="0"/>
          <w:numId w:val="2"/>
        </w:numPr>
        <w:ind w:right="431"/>
      </w:pPr>
      <w:r>
        <w:t xml:space="preserve">Baydar, G. (2013). “Gençlerin Gündelik Yaşamında Sosyal Medya”. Yeni Medya Çalışmaları I. Ulusal Kongresi Kongre Kitabı. 7-8 Mayıs 2013, Kocaeli, s. 132-142. </w:t>
      </w:r>
    </w:p>
    <w:p w14:paraId="6E269262" w14:textId="77777777" w:rsidR="008E7D7E" w:rsidRDefault="008E7D7E" w:rsidP="008E7D7E">
      <w:pPr>
        <w:spacing w:after="0" w:line="259" w:lineRule="auto"/>
        <w:ind w:left="-5"/>
        <w:jc w:val="left"/>
      </w:pPr>
      <w:r>
        <w:rPr>
          <w:b/>
        </w:rPr>
        <w:t xml:space="preserve">Web Sayfası: </w:t>
      </w:r>
    </w:p>
    <w:p w14:paraId="58CA9D2E" w14:textId="77777777" w:rsidR="008E7D7E" w:rsidRDefault="008E7D7E" w:rsidP="008E7D7E">
      <w:pPr>
        <w:numPr>
          <w:ilvl w:val="0"/>
          <w:numId w:val="2"/>
        </w:numPr>
        <w:ind w:right="431"/>
      </w:pPr>
      <w:r>
        <w:t xml:space="preserve">(2013). World </w:t>
      </w:r>
      <w:proofErr w:type="spellStart"/>
      <w:r>
        <w:t>heritagelist</w:t>
      </w:r>
      <w:proofErr w:type="spellEnd"/>
      <w:r>
        <w:t xml:space="preserve">. </w:t>
      </w:r>
      <w:proofErr w:type="gramStart"/>
      <w:r>
        <w:t>http://whc.unesco.org/en/list .</w:t>
      </w:r>
      <w:proofErr w:type="gramEnd"/>
      <w:r>
        <w:t xml:space="preserve"> (ET: 17.08.2015) </w:t>
      </w:r>
    </w:p>
    <w:p w14:paraId="6FFCD6FC" w14:textId="77777777" w:rsidR="008E7D7E" w:rsidRDefault="008E7D7E" w:rsidP="008E7D7E">
      <w:pPr>
        <w:ind w:left="0" w:right="431"/>
      </w:pPr>
      <w:r w:rsidRPr="00280313">
        <w:rPr>
          <w:b/>
        </w:rPr>
        <w:t xml:space="preserve">Ansiklopedi Maddesi: </w:t>
      </w:r>
    </w:p>
    <w:p w14:paraId="51D06341" w14:textId="77777777" w:rsidR="008E7D7E" w:rsidRDefault="008E7D7E" w:rsidP="008E7D7E">
      <w:pPr>
        <w:numPr>
          <w:ilvl w:val="0"/>
          <w:numId w:val="2"/>
        </w:numPr>
        <w:ind w:right="431"/>
      </w:pPr>
      <w:r>
        <w:lastRenderedPageBreak/>
        <w:t xml:space="preserve">AKÜN, Ömer Faruk (1994); “Divan Edebiyatı”, Türkiye Diyanet Vakfı İslam </w:t>
      </w:r>
    </w:p>
    <w:p w14:paraId="427C890F" w14:textId="77777777" w:rsidR="008E7D7E" w:rsidRDefault="008E7D7E" w:rsidP="008E7D7E">
      <w:pPr>
        <w:ind w:left="-5" w:right="431"/>
      </w:pPr>
      <w:r>
        <w:t xml:space="preserve">Ansiklopedisi. C.9, İstanbul: Türkiye Diyanet Vakfı Yayınları, s. 389-427. </w:t>
      </w:r>
    </w:p>
    <w:p w14:paraId="3EA2D320" w14:textId="77777777" w:rsidR="008E7D7E" w:rsidRDefault="008E7D7E" w:rsidP="008E7D7E">
      <w:pPr>
        <w:spacing w:after="12" w:line="259" w:lineRule="auto"/>
        <w:ind w:left="-5"/>
        <w:jc w:val="left"/>
      </w:pPr>
      <w:r>
        <w:rPr>
          <w:b/>
        </w:rPr>
        <w:t xml:space="preserve">Sözlük: </w:t>
      </w:r>
    </w:p>
    <w:p w14:paraId="078A41D4" w14:textId="77777777" w:rsidR="008E7D7E" w:rsidRDefault="008E7D7E" w:rsidP="008E7D7E">
      <w:pPr>
        <w:numPr>
          <w:ilvl w:val="0"/>
          <w:numId w:val="2"/>
        </w:numPr>
        <w:ind w:right="431"/>
      </w:pPr>
      <w:r>
        <w:t xml:space="preserve">(2003). </w:t>
      </w:r>
      <w:proofErr w:type="spellStart"/>
      <w:r>
        <w:t>Merriam-Webster’sCollegiate</w:t>
      </w:r>
      <w:proofErr w:type="spellEnd"/>
      <w:r>
        <w:t xml:space="preserve"> Dictionary (11. Baskı). </w:t>
      </w:r>
      <w:proofErr w:type="spellStart"/>
      <w:r>
        <w:t>Springfield</w:t>
      </w:r>
      <w:proofErr w:type="spellEnd"/>
      <w:r>
        <w:t xml:space="preserve">, MA: </w:t>
      </w:r>
      <w:proofErr w:type="spellStart"/>
      <w:r>
        <w:t>MerriamWebsters</w:t>
      </w:r>
      <w:proofErr w:type="spellEnd"/>
      <w:r>
        <w:t xml:space="preserve">. </w:t>
      </w:r>
    </w:p>
    <w:p w14:paraId="5E0C1544" w14:textId="77777777" w:rsidR="008E7D7E" w:rsidRDefault="008E7D7E" w:rsidP="008E7D7E">
      <w:pPr>
        <w:spacing w:after="25" w:line="259" w:lineRule="auto"/>
        <w:ind w:left="0"/>
        <w:jc w:val="left"/>
      </w:pPr>
      <w:r>
        <w:rPr>
          <w:b/>
        </w:rPr>
        <w:t xml:space="preserve"> </w:t>
      </w:r>
    </w:p>
    <w:p w14:paraId="1098B4D6" w14:textId="77777777" w:rsidR="008E7D7E" w:rsidRDefault="008E7D7E" w:rsidP="008E7D7E">
      <w:pPr>
        <w:spacing w:after="22" w:line="259" w:lineRule="auto"/>
        <w:ind w:left="-5"/>
        <w:jc w:val="left"/>
      </w:pPr>
      <w:r>
        <w:rPr>
          <w:b/>
        </w:rPr>
        <w:t xml:space="preserve">Yazarı Belirtilmemiş Kitap: </w:t>
      </w:r>
    </w:p>
    <w:p w14:paraId="4D5E3522" w14:textId="77777777" w:rsidR="008E7D7E" w:rsidRDefault="008E7D7E" w:rsidP="008E7D7E">
      <w:pPr>
        <w:numPr>
          <w:ilvl w:val="0"/>
          <w:numId w:val="2"/>
        </w:numPr>
        <w:ind w:right="431"/>
      </w:pPr>
      <w:r>
        <w:t xml:space="preserve">Meydan Larousse (2000); “Mehmet Akif Ersoy”, Meydan Larousse, C.I, Ankara: Türk Dil </w:t>
      </w:r>
    </w:p>
    <w:p w14:paraId="32292674" w14:textId="77777777" w:rsidR="008E7D7E" w:rsidRDefault="008E7D7E" w:rsidP="008E7D7E">
      <w:pPr>
        <w:spacing w:after="1" w:line="261" w:lineRule="auto"/>
        <w:ind w:left="-5" w:right="912"/>
        <w:jc w:val="left"/>
      </w:pPr>
      <w:r>
        <w:t xml:space="preserve">Kurumu Yayınları, s.308-317. </w:t>
      </w:r>
    </w:p>
    <w:p w14:paraId="6FB50675" w14:textId="77777777" w:rsidR="008E7D7E" w:rsidRDefault="008E7D7E" w:rsidP="008E7D7E">
      <w:pPr>
        <w:spacing w:after="1" w:line="261" w:lineRule="auto"/>
        <w:ind w:left="-5" w:right="912"/>
        <w:jc w:val="left"/>
        <w:rPr>
          <w:b/>
        </w:rPr>
      </w:pPr>
      <w:r>
        <w:rPr>
          <w:b/>
        </w:rPr>
        <w:t xml:space="preserve">Yazma Eser: </w:t>
      </w:r>
    </w:p>
    <w:p w14:paraId="0EC599F0" w14:textId="77777777" w:rsidR="008E7D7E" w:rsidRDefault="008E7D7E" w:rsidP="008E7D7E">
      <w:pPr>
        <w:spacing w:after="1" w:line="261" w:lineRule="auto"/>
        <w:ind w:left="-5" w:right="912"/>
        <w:jc w:val="left"/>
      </w:pPr>
      <w:r>
        <w:t xml:space="preserve">• </w:t>
      </w:r>
      <w:proofErr w:type="spellStart"/>
      <w:r>
        <w:t>Âsım</w:t>
      </w:r>
      <w:proofErr w:type="spellEnd"/>
      <w:r>
        <w:t xml:space="preserve">. </w:t>
      </w:r>
      <w:proofErr w:type="spellStart"/>
      <w:r>
        <w:t>Zeyl</w:t>
      </w:r>
      <w:proofErr w:type="spellEnd"/>
      <w:r>
        <w:t xml:space="preserve">-i </w:t>
      </w:r>
      <w:proofErr w:type="spellStart"/>
      <w:r>
        <w:t>Zübdetü’l-</w:t>
      </w:r>
      <w:proofErr w:type="gramStart"/>
      <w:r>
        <w:t>Eş‘</w:t>
      </w:r>
      <w:proofErr w:type="gramEnd"/>
      <w:r>
        <w:t>âr</w:t>
      </w:r>
      <w:proofErr w:type="spellEnd"/>
      <w:r>
        <w:t xml:space="preserve">. Millet Kütüphanesi. A. </w:t>
      </w:r>
      <w:proofErr w:type="spellStart"/>
      <w:r>
        <w:t>Emirî</w:t>
      </w:r>
      <w:proofErr w:type="spellEnd"/>
      <w:r>
        <w:t xml:space="preserve"> Efendi. No. 1326. </w:t>
      </w:r>
      <w:proofErr w:type="spellStart"/>
      <w:proofErr w:type="gramStart"/>
      <w:r>
        <w:t>vr</w:t>
      </w:r>
      <w:proofErr w:type="spellEnd"/>
      <w:proofErr w:type="gramEnd"/>
      <w:r>
        <w:t xml:space="preserve">. </w:t>
      </w:r>
      <w:proofErr w:type="gramStart"/>
      <w:r>
        <w:t>45a</w:t>
      </w:r>
      <w:proofErr w:type="gramEnd"/>
      <w:r>
        <w:t xml:space="preserve">. </w:t>
      </w:r>
    </w:p>
    <w:p w14:paraId="4DAF4129" w14:textId="77777777" w:rsidR="008E7D7E" w:rsidRDefault="008E7D7E" w:rsidP="008E7D7E">
      <w:pPr>
        <w:spacing w:after="0" w:line="259" w:lineRule="auto"/>
        <w:ind w:left="0"/>
        <w:jc w:val="left"/>
      </w:pPr>
      <w:r>
        <w:t xml:space="preserve">  </w:t>
      </w:r>
    </w:p>
    <w:p w14:paraId="0610B5CE" w14:textId="77777777" w:rsidR="00C15C1F" w:rsidRDefault="00C15C1F"/>
    <w:sectPr w:rsidR="00C15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5D"/>
    <w:multiLevelType w:val="multilevel"/>
    <w:tmpl w:val="4EE886EA"/>
    <w:lvl w:ilvl="0">
      <w:start w:val="1"/>
      <w:numFmt w:val="bullet"/>
      <w:lvlText w:val="•"/>
      <w:lvlJc w:val="left"/>
      <w:pPr>
        <w:ind w:left="285" w:hanging="2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07840AE6"/>
    <w:multiLevelType w:val="multilevel"/>
    <w:tmpl w:val="A4887F34"/>
    <w:lvl w:ilvl="0">
      <w:start w:val="1"/>
      <w:numFmt w:val="bullet"/>
      <w:lvlText w:val="•"/>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8" w:hanging="10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8" w:hanging="18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8" w:hanging="252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8" w:hanging="32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8" w:hanging="39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8" w:hanging="468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8" w:hanging="54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8" w:hanging="612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 w15:restartNumberingAfterBreak="0">
    <w:nsid w:val="16637A81"/>
    <w:multiLevelType w:val="hybridMultilevel"/>
    <w:tmpl w:val="603A05E6"/>
    <w:lvl w:ilvl="0" w:tplc="103A03AC">
      <w:start w:val="1"/>
      <w:numFmt w:val="bullet"/>
      <w:lvlText w:val=""/>
      <w:lvlJc w:val="left"/>
      <w:pPr>
        <w:ind w:left="355" w:hanging="360"/>
      </w:pPr>
      <w:rPr>
        <w:rFonts w:ascii="Symbol" w:eastAsia="Times New Roman" w:hAnsi="Symbol" w:cs="Times New Roman"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num w:numId="1" w16cid:durableId="1466049988">
    <w:abstractNumId w:val="0"/>
  </w:num>
  <w:num w:numId="2" w16cid:durableId="2003389908">
    <w:abstractNumId w:val="1"/>
  </w:num>
  <w:num w:numId="3" w16cid:durableId="316886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29"/>
    <w:rsid w:val="001A1629"/>
    <w:rsid w:val="008E7D7E"/>
    <w:rsid w:val="00C15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E9F625-37AD-49E0-8C8F-FAB201F8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7E"/>
    <w:pPr>
      <w:spacing w:after="5" w:line="271" w:lineRule="auto"/>
      <w:ind w:left="10"/>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D7E"/>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2023-12-08T14:30:00Z</dcterms:created>
  <dcterms:modified xsi:type="dcterms:W3CDTF">2023-12-08T14:31:00Z</dcterms:modified>
</cp:coreProperties>
</file>